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89" w:rsidRPr="00763F2E" w:rsidRDefault="00097589" w:rsidP="00097589">
      <w:pPr>
        <w:spacing w:after="0" w:line="240" w:lineRule="auto"/>
      </w:pPr>
      <w:r w:rsidRPr="00763F2E">
        <w:t>Association Commune Trans et Homo pour l’Egalité</w:t>
      </w:r>
    </w:p>
    <w:p w:rsidR="00097589" w:rsidRPr="00763F2E" w:rsidRDefault="00097589" w:rsidP="00097589">
      <w:pPr>
        <w:spacing w:after="0" w:line="240" w:lineRule="auto"/>
      </w:pPr>
      <w:r w:rsidRPr="00763F2E">
        <w:t>Boite n° 89</w:t>
      </w:r>
    </w:p>
    <w:p w:rsidR="00097589" w:rsidRPr="00763F2E" w:rsidRDefault="00097589" w:rsidP="00097589">
      <w:pPr>
        <w:spacing w:after="0" w:line="240" w:lineRule="auto"/>
      </w:pPr>
      <w:r w:rsidRPr="00763F2E">
        <w:t>11 rue Caillaux</w:t>
      </w:r>
    </w:p>
    <w:p w:rsidR="00097589" w:rsidRPr="00763F2E" w:rsidRDefault="00097589" w:rsidP="00097589">
      <w:pPr>
        <w:spacing w:after="0" w:line="240" w:lineRule="auto"/>
      </w:pPr>
      <w:r w:rsidRPr="00763F2E">
        <w:t>75013 Paris</w:t>
      </w:r>
    </w:p>
    <w:p w:rsidR="00097589" w:rsidRPr="00097589" w:rsidRDefault="00097589" w:rsidP="00097589">
      <w:pPr>
        <w:spacing w:after="0" w:line="240" w:lineRule="auto"/>
        <w:rPr>
          <w:rFonts w:eastAsia="Times New Roman" w:cs="Arial"/>
          <w:lang w:eastAsia="fr-FR"/>
        </w:rPr>
      </w:pPr>
      <w:r w:rsidRPr="00097589">
        <w:rPr>
          <w:rFonts w:eastAsia="Times New Roman" w:cs="Arial"/>
          <w:lang w:eastAsia="fr-FR"/>
        </w:rPr>
        <w:t>N° SIRET</w:t>
      </w:r>
      <w:r w:rsidRPr="00763F2E">
        <w:rPr>
          <w:rFonts w:eastAsia="Times New Roman" w:cs="Arial"/>
          <w:lang w:eastAsia="fr-FR"/>
        </w:rPr>
        <w:t xml:space="preserve"> </w:t>
      </w:r>
      <w:r w:rsidR="0033204F" w:rsidRPr="00763F2E">
        <w:rPr>
          <w:rFonts w:eastAsia="Times New Roman" w:cs="Arial"/>
          <w:lang w:eastAsia="fr-FR"/>
        </w:rPr>
        <w:t>:</w:t>
      </w:r>
      <w:r w:rsidRPr="00097589">
        <w:rPr>
          <w:rFonts w:eastAsia="Times New Roman" w:cs="Arial"/>
          <w:lang w:eastAsia="fr-FR"/>
        </w:rPr>
        <w:t xml:space="preserve"> 522</w:t>
      </w:r>
      <w:r w:rsidRPr="00763F2E">
        <w:rPr>
          <w:rFonts w:eastAsia="Times New Roman" w:cs="Arial"/>
          <w:lang w:eastAsia="fr-FR"/>
        </w:rPr>
        <w:t> </w:t>
      </w:r>
      <w:r w:rsidRPr="00097589">
        <w:rPr>
          <w:rFonts w:eastAsia="Times New Roman" w:cs="Arial"/>
          <w:lang w:eastAsia="fr-FR"/>
        </w:rPr>
        <w:t>322</w:t>
      </w:r>
      <w:r w:rsidRPr="00763F2E">
        <w:rPr>
          <w:rFonts w:eastAsia="Times New Roman" w:cs="Arial"/>
          <w:lang w:eastAsia="fr-FR"/>
        </w:rPr>
        <w:t> </w:t>
      </w:r>
      <w:r w:rsidRPr="00097589">
        <w:rPr>
          <w:rFonts w:eastAsia="Times New Roman" w:cs="Arial"/>
          <w:lang w:eastAsia="fr-FR"/>
        </w:rPr>
        <w:t>908</w:t>
      </w:r>
      <w:r w:rsidRPr="00763F2E">
        <w:rPr>
          <w:rFonts w:eastAsia="Times New Roman" w:cs="Arial"/>
          <w:lang w:eastAsia="fr-FR"/>
        </w:rPr>
        <w:t xml:space="preserve"> </w:t>
      </w:r>
      <w:r w:rsidRPr="00097589">
        <w:rPr>
          <w:rFonts w:eastAsia="Times New Roman" w:cs="Arial"/>
          <w:lang w:eastAsia="fr-FR"/>
        </w:rPr>
        <w:t>000 16</w:t>
      </w:r>
    </w:p>
    <w:p w:rsidR="00097589" w:rsidRPr="00763F2E" w:rsidRDefault="00097589" w:rsidP="00097589">
      <w:pPr>
        <w:spacing w:after="0" w:line="240" w:lineRule="auto"/>
      </w:pPr>
      <w:r w:rsidRPr="00763F2E">
        <w:t>www.acthe.fr</w:t>
      </w:r>
    </w:p>
    <w:p w:rsidR="00097589" w:rsidRPr="00763F2E" w:rsidRDefault="00097589" w:rsidP="00097589">
      <w:pPr>
        <w:spacing w:after="0" w:line="240" w:lineRule="auto"/>
      </w:pPr>
      <w:r w:rsidRPr="00763F2E">
        <w:t>contact@acthe.fr</w:t>
      </w:r>
    </w:p>
    <w:p w:rsidR="00097589" w:rsidRPr="00763F2E" w:rsidRDefault="00097589" w:rsidP="00097589">
      <w:pPr>
        <w:spacing w:after="0" w:line="240" w:lineRule="auto"/>
      </w:pPr>
    </w:p>
    <w:p w:rsidR="00097589" w:rsidRPr="00763F2E" w:rsidRDefault="00097589" w:rsidP="00097589">
      <w:pPr>
        <w:spacing w:after="0" w:line="240" w:lineRule="auto"/>
        <w:ind w:left="5664"/>
      </w:pPr>
      <w:r w:rsidRPr="00763F2E">
        <w:t>Conseil supérieur de l’audiovisuel</w:t>
      </w:r>
    </w:p>
    <w:p w:rsidR="00097589" w:rsidRPr="00763F2E" w:rsidRDefault="00097589" w:rsidP="00097589">
      <w:pPr>
        <w:spacing w:after="0" w:line="240" w:lineRule="auto"/>
        <w:ind w:left="5664"/>
      </w:pPr>
      <w:r w:rsidRPr="00763F2E">
        <w:t>Tour Mirabeau</w:t>
      </w:r>
    </w:p>
    <w:p w:rsidR="00097589" w:rsidRPr="00763F2E" w:rsidRDefault="00097589" w:rsidP="00097589">
      <w:pPr>
        <w:spacing w:after="0" w:line="240" w:lineRule="auto"/>
        <w:ind w:left="5664"/>
      </w:pPr>
      <w:r w:rsidRPr="00763F2E">
        <w:t>39-43, quai André-Citroën</w:t>
      </w:r>
    </w:p>
    <w:p w:rsidR="00097589" w:rsidRPr="00763F2E" w:rsidRDefault="00097589" w:rsidP="00097589">
      <w:pPr>
        <w:spacing w:after="0" w:line="240" w:lineRule="auto"/>
        <w:ind w:left="5664"/>
      </w:pPr>
      <w:r w:rsidRPr="00763F2E">
        <w:t>75739 Paris Cedex 15</w:t>
      </w:r>
    </w:p>
    <w:p w:rsidR="00097589" w:rsidRPr="00763F2E" w:rsidRDefault="00097589" w:rsidP="00097589">
      <w:pPr>
        <w:spacing w:after="0" w:line="240" w:lineRule="auto"/>
      </w:pPr>
    </w:p>
    <w:p w:rsidR="00097589" w:rsidRPr="00763F2E" w:rsidRDefault="00097589" w:rsidP="00097589">
      <w:pPr>
        <w:spacing w:after="0" w:line="240" w:lineRule="auto"/>
      </w:pPr>
    </w:p>
    <w:p w:rsidR="00FB2E1D" w:rsidRPr="00763F2E" w:rsidRDefault="00097589" w:rsidP="00D5184B">
      <w:pPr>
        <w:spacing w:after="0" w:line="240" w:lineRule="auto"/>
        <w:ind w:firstLine="708"/>
      </w:pPr>
      <w:r w:rsidRPr="00763F2E">
        <w:t>Objet : Signalement de programme auprès du CSA</w:t>
      </w:r>
    </w:p>
    <w:p w:rsidR="00097589" w:rsidRPr="00763F2E" w:rsidRDefault="00097589" w:rsidP="00097589">
      <w:pPr>
        <w:spacing w:after="0" w:line="240" w:lineRule="auto"/>
      </w:pPr>
    </w:p>
    <w:p w:rsidR="00097589" w:rsidRPr="00763F2E" w:rsidRDefault="00097589" w:rsidP="00D5184B">
      <w:pPr>
        <w:spacing w:after="0" w:line="240" w:lineRule="auto"/>
        <w:ind w:firstLine="708"/>
      </w:pPr>
      <w:r w:rsidRPr="00763F2E">
        <w:t>Madame, monsieur,</w:t>
      </w:r>
    </w:p>
    <w:p w:rsidR="00097589" w:rsidRPr="00763F2E" w:rsidRDefault="00097589" w:rsidP="00097589">
      <w:pPr>
        <w:spacing w:after="0" w:line="240" w:lineRule="auto"/>
      </w:pPr>
    </w:p>
    <w:p w:rsidR="00097589" w:rsidRPr="00763F2E" w:rsidRDefault="00097589" w:rsidP="00D5184B">
      <w:pPr>
        <w:spacing w:after="0" w:line="240" w:lineRule="auto"/>
        <w:jc w:val="both"/>
      </w:pPr>
      <w:r w:rsidRPr="00763F2E">
        <w:t xml:space="preserve">Nous attirons votre attention sur le programme « Le grand journal », diffusé sur Canal+ le lundi 5 septembre 2016 à 19H05 : </w:t>
      </w:r>
    </w:p>
    <w:p w:rsidR="00097589" w:rsidRPr="00763F2E" w:rsidRDefault="001B2701" w:rsidP="00D5184B">
      <w:pPr>
        <w:spacing w:after="0" w:line="240" w:lineRule="auto"/>
        <w:jc w:val="both"/>
      </w:pPr>
      <w:hyperlink r:id="rId7" w:history="1">
        <w:r w:rsidR="00097589" w:rsidRPr="00763F2E">
          <w:rPr>
            <w:rStyle w:val="Hyperlink"/>
          </w:rPr>
          <w:t>http://www.canalplus.fr/emissions/le-grand-journal/pid5411-emission.html?vid=1414485</w:t>
        </w:r>
      </w:hyperlink>
    </w:p>
    <w:p w:rsidR="00097589" w:rsidRPr="00763F2E" w:rsidRDefault="00097589" w:rsidP="00D5184B">
      <w:pPr>
        <w:spacing w:after="0" w:line="240" w:lineRule="auto"/>
        <w:jc w:val="both"/>
      </w:pPr>
    </w:p>
    <w:p w:rsidR="0081652C" w:rsidRDefault="00735C78" w:rsidP="00D5184B">
      <w:pPr>
        <w:spacing w:after="0" w:line="240" w:lineRule="auto"/>
        <w:jc w:val="both"/>
        <w:rPr>
          <w:rStyle w:val="petittext"/>
        </w:rPr>
      </w:pPr>
      <w:r w:rsidRPr="00763F2E">
        <w:rPr>
          <w:rStyle w:val="petittext"/>
        </w:rPr>
        <w:t xml:space="preserve">Lors de ce programme, l’humoriste Lamine </w:t>
      </w:r>
      <w:proofErr w:type="spellStart"/>
      <w:r w:rsidRPr="00763F2E">
        <w:rPr>
          <w:rStyle w:val="petittext"/>
        </w:rPr>
        <w:t>Lezghad</w:t>
      </w:r>
      <w:proofErr w:type="spellEnd"/>
      <w:r w:rsidRPr="00763F2E">
        <w:rPr>
          <w:rStyle w:val="petittext"/>
        </w:rPr>
        <w:t xml:space="preserve"> lance à Brigitte Boréale, chroniqueuse ouvertement </w:t>
      </w:r>
      <w:proofErr w:type="spellStart"/>
      <w:r w:rsidRPr="00763F2E">
        <w:rPr>
          <w:rStyle w:val="petittext"/>
        </w:rPr>
        <w:t>trans</w:t>
      </w:r>
      <w:proofErr w:type="spellEnd"/>
      <w:r w:rsidRPr="00763F2E">
        <w:rPr>
          <w:rStyle w:val="petittext"/>
        </w:rPr>
        <w:t> : « Nous, les mecs, quand on est stressés, une petite euh… ça détend. Hein Brigitte ? ». Puis Ornella Fleury, la nouvelle « Miss Météo » s’adresse à Brigitte Boréale : « Bonsoir monsieur-dame, enfin Brigitte ».</w:t>
      </w:r>
    </w:p>
    <w:p w:rsidR="00763F2E" w:rsidRDefault="00763F2E" w:rsidP="00D5184B">
      <w:pPr>
        <w:spacing w:after="0" w:line="240" w:lineRule="auto"/>
        <w:jc w:val="both"/>
        <w:rPr>
          <w:rStyle w:val="petittext"/>
        </w:rPr>
      </w:pPr>
    </w:p>
    <w:p w:rsidR="00763F2E" w:rsidRDefault="00763F2E" w:rsidP="00D5184B">
      <w:pPr>
        <w:spacing w:after="0" w:line="240" w:lineRule="auto"/>
        <w:jc w:val="both"/>
        <w:rPr>
          <w:rStyle w:val="petittext"/>
        </w:rPr>
      </w:pPr>
      <w:r>
        <w:rPr>
          <w:rStyle w:val="petittext"/>
        </w:rPr>
        <w:t xml:space="preserve">Nous avons été choqué par de tels propos sexistes et </w:t>
      </w:r>
      <w:proofErr w:type="spellStart"/>
      <w:r>
        <w:rPr>
          <w:rStyle w:val="petittext"/>
        </w:rPr>
        <w:t>transphobes</w:t>
      </w:r>
      <w:proofErr w:type="spellEnd"/>
      <w:r>
        <w:rPr>
          <w:rStyle w:val="petittext"/>
        </w:rPr>
        <w:t xml:space="preserve"> qui renvoient systématiquement les personnes </w:t>
      </w:r>
      <w:proofErr w:type="spellStart"/>
      <w:r>
        <w:rPr>
          <w:rStyle w:val="petittext"/>
        </w:rPr>
        <w:t>trans</w:t>
      </w:r>
      <w:proofErr w:type="spellEnd"/>
      <w:r>
        <w:rPr>
          <w:rStyle w:val="petittext"/>
        </w:rPr>
        <w:t xml:space="preserve"> à leur sexe de naissance, niant ainsi le principe d’autodétermination défendu par la Cour européenne des droits de l’Homme dans deux arrêts (Van </w:t>
      </w:r>
      <w:proofErr w:type="spellStart"/>
      <w:r>
        <w:rPr>
          <w:rStyle w:val="petittext"/>
        </w:rPr>
        <w:t>Kuck</w:t>
      </w:r>
      <w:proofErr w:type="spellEnd"/>
      <w:r>
        <w:rPr>
          <w:rStyle w:val="petittext"/>
        </w:rPr>
        <w:t xml:space="preserve"> c. Allemagne, 2003 et Y.Y. c. Turquie, 2015).</w:t>
      </w:r>
    </w:p>
    <w:p w:rsidR="00B62789" w:rsidRDefault="00B62789" w:rsidP="00D5184B">
      <w:pPr>
        <w:spacing w:after="0" w:line="240" w:lineRule="auto"/>
        <w:jc w:val="both"/>
        <w:rPr>
          <w:rStyle w:val="petittext"/>
        </w:rPr>
      </w:pPr>
    </w:p>
    <w:p w:rsidR="00B62789" w:rsidRDefault="00B62789" w:rsidP="00D5184B">
      <w:pPr>
        <w:spacing w:after="0" w:line="240" w:lineRule="auto"/>
        <w:jc w:val="both"/>
        <w:rPr>
          <w:rStyle w:val="petittext"/>
        </w:rPr>
      </w:pPr>
      <w:r>
        <w:rPr>
          <w:rStyle w:val="petittext"/>
        </w:rPr>
        <w:t>L’utilisation de l’humour n’est pas un sauf-conduit aux discriminations et à l’incitation à la haine ou au meurtre mais est révélateur des stéréotypes d’une société et mène inexorablement aux préjugés et aux discriminations.</w:t>
      </w:r>
    </w:p>
    <w:p w:rsidR="00B62789" w:rsidRDefault="00B62789" w:rsidP="00D5184B">
      <w:pPr>
        <w:spacing w:after="0" w:line="240" w:lineRule="auto"/>
        <w:jc w:val="both"/>
        <w:rPr>
          <w:rStyle w:val="petittext"/>
        </w:rPr>
      </w:pPr>
    </w:p>
    <w:p w:rsidR="00B62789" w:rsidRDefault="00B62789" w:rsidP="00D5184B">
      <w:pPr>
        <w:spacing w:after="0" w:line="240" w:lineRule="auto"/>
        <w:jc w:val="both"/>
        <w:rPr>
          <w:rStyle w:val="petittext"/>
        </w:rPr>
      </w:pPr>
      <w:r>
        <w:rPr>
          <w:rStyle w:val="petittext"/>
        </w:rPr>
        <w:t xml:space="preserve">Ces sketchs viennent banaliser et légitimer des propos ou comportements sexistes et </w:t>
      </w:r>
      <w:proofErr w:type="spellStart"/>
      <w:r>
        <w:rPr>
          <w:rStyle w:val="petittext"/>
        </w:rPr>
        <w:t>transphobes</w:t>
      </w:r>
      <w:proofErr w:type="spellEnd"/>
      <w:r>
        <w:rPr>
          <w:rStyle w:val="petittext"/>
        </w:rPr>
        <w:t xml:space="preserve"> qui sont d’une violence inouïe, en particulier pour toutes celles et ceux qui doivent déjà faire face à de telles insultes au quotidien.</w:t>
      </w:r>
    </w:p>
    <w:p w:rsidR="00B62789" w:rsidRDefault="00B62789" w:rsidP="00D5184B">
      <w:pPr>
        <w:spacing w:after="0" w:line="240" w:lineRule="auto"/>
        <w:jc w:val="both"/>
        <w:rPr>
          <w:rStyle w:val="petittext"/>
        </w:rPr>
      </w:pPr>
    </w:p>
    <w:p w:rsidR="00B62789" w:rsidRDefault="00B62789" w:rsidP="00D5184B">
      <w:pPr>
        <w:spacing w:after="0" w:line="240" w:lineRule="auto"/>
        <w:jc w:val="both"/>
      </w:pPr>
      <w:r>
        <w:rPr>
          <w:rStyle w:val="petittext"/>
        </w:rPr>
        <w:t>No</w:t>
      </w:r>
      <w:r w:rsidR="00B6671B">
        <w:rPr>
          <w:rStyle w:val="petittext"/>
        </w:rPr>
        <w:t xml:space="preserve">us rappelons que depuis la loi du 6 août 2012, l’identité sexuelle a été ajoutée aux motifs de discrimination de l’article 225-1 du code pénal. Par conséquent les articles 23 et 24 de la loi du 29 juillet 1881 sur la liberté de la presse </w:t>
      </w:r>
      <w:r w:rsidR="00225EDE">
        <w:rPr>
          <w:rStyle w:val="petittext"/>
        </w:rPr>
        <w:t>s’appliquent</w:t>
      </w:r>
      <w:r w:rsidR="00B6671B">
        <w:rPr>
          <w:rStyle w:val="petittext"/>
        </w:rPr>
        <w:t xml:space="preserve"> aussi dans le cas de discrimination à l’encontre de personnes </w:t>
      </w:r>
      <w:proofErr w:type="spellStart"/>
      <w:r w:rsidR="00B6671B">
        <w:rPr>
          <w:rStyle w:val="petittext"/>
        </w:rPr>
        <w:t>trans</w:t>
      </w:r>
      <w:proofErr w:type="spellEnd"/>
      <w:r w:rsidR="00B6671B">
        <w:rPr>
          <w:rStyle w:val="petittext"/>
        </w:rPr>
        <w:t>. L’article 23 de la loi sur la liberté de la presse dispose que : « </w:t>
      </w:r>
      <w:r w:rsidR="00B6671B">
        <w:t>Seront punis comme complices d'une action qualifiée crime ou délit ceux qui, soit par des discours […]</w:t>
      </w:r>
      <w:r w:rsidR="006C5860">
        <w:t xml:space="preserve"> </w:t>
      </w:r>
      <w:r w:rsidR="00B6671B">
        <w:t>auront directement provoqué l'auteur ou les auteurs à commettre ladite action, si la provocation a été suivie d'effet. »</w:t>
      </w:r>
    </w:p>
    <w:p w:rsidR="00225EDE" w:rsidRDefault="00225EDE" w:rsidP="00D5184B">
      <w:pPr>
        <w:spacing w:after="0" w:line="240" w:lineRule="auto"/>
        <w:jc w:val="both"/>
      </w:pPr>
    </w:p>
    <w:p w:rsidR="00225EDE" w:rsidRDefault="00225EDE" w:rsidP="00D5184B">
      <w:pPr>
        <w:spacing w:after="0" w:line="240" w:lineRule="auto"/>
        <w:jc w:val="both"/>
      </w:pPr>
      <w:r>
        <w:t>Nous demandons au Conseil supérieur de l’audiovisuel d’être vigilant et de censurer les programmes qui vont à l’encontre de la loi, en particulier concernant les discrimina</w:t>
      </w:r>
      <w:r w:rsidR="006D4F92">
        <w:t xml:space="preserve">tions visant les personnes LGBT (lesbiennes, gays, bisexuelles, </w:t>
      </w:r>
      <w:proofErr w:type="spellStart"/>
      <w:r w:rsidR="006D4F92">
        <w:t>transidentitaires</w:t>
      </w:r>
      <w:proofErr w:type="spellEnd"/>
      <w:r w:rsidR="006D4F92">
        <w:t>).</w:t>
      </w:r>
    </w:p>
    <w:p w:rsidR="0047370D" w:rsidRDefault="0047370D" w:rsidP="00D5184B">
      <w:pPr>
        <w:spacing w:after="0" w:line="240" w:lineRule="auto"/>
        <w:jc w:val="both"/>
      </w:pPr>
    </w:p>
    <w:p w:rsidR="00592272" w:rsidRDefault="00A27B88" w:rsidP="00D5184B">
      <w:pPr>
        <w:spacing w:after="0" w:line="240" w:lineRule="auto"/>
        <w:jc w:val="both"/>
      </w:pPr>
      <w:r>
        <w:lastRenderedPageBreak/>
        <w:t xml:space="preserve">La banalisation de propos sexistes et </w:t>
      </w:r>
      <w:proofErr w:type="spellStart"/>
      <w:r>
        <w:t>transphobes</w:t>
      </w:r>
      <w:proofErr w:type="spellEnd"/>
      <w:r>
        <w:t xml:space="preserve"> dans les médias est d’autant plus inquiétante que ces sketchs sont repris par des avocats pour justifier des actes </w:t>
      </w:r>
      <w:proofErr w:type="spellStart"/>
      <w:r>
        <w:t>transphobes</w:t>
      </w:r>
      <w:proofErr w:type="spellEnd"/>
      <w:r>
        <w:t xml:space="preserve"> comme cela a été le cas dans l’affaire du 1</w:t>
      </w:r>
      <w:r w:rsidRPr="00A27B88">
        <w:rPr>
          <w:vertAlign w:val="superscript"/>
        </w:rPr>
        <w:t>er</w:t>
      </w:r>
      <w:r>
        <w:t xml:space="preserve"> juin 2016 de la 9</w:t>
      </w:r>
      <w:r w:rsidRPr="00A27B88">
        <w:rPr>
          <w:vertAlign w:val="superscript"/>
        </w:rPr>
        <w:t>ème</w:t>
      </w:r>
      <w:r>
        <w:t xml:space="preserve"> chambre correctionnelle du Tribunal de grande instance de Lille où la défense a utilisé la « chanson » intitulée « Travelo » de Florent </w:t>
      </w:r>
      <w:proofErr w:type="spellStart"/>
      <w:r>
        <w:t>Peyre</w:t>
      </w:r>
      <w:proofErr w:type="spellEnd"/>
      <w:r>
        <w:t xml:space="preserve">, diffusé sur TF1, pour justifier l’insulte « travelo » proféré par le prévenu. </w:t>
      </w:r>
      <w:r w:rsidR="00BB2EEA">
        <w:t>Nous pouvons conclure que</w:t>
      </w:r>
      <w:r w:rsidR="00F65164">
        <w:t>, selon la justice,</w:t>
      </w:r>
      <w:r w:rsidR="00BB2EEA">
        <w:t xml:space="preserve"> « travelo » est bien une insulte </w:t>
      </w:r>
      <w:proofErr w:type="spellStart"/>
      <w:r w:rsidR="00BB2EEA">
        <w:t>transphobe</w:t>
      </w:r>
      <w:proofErr w:type="spellEnd"/>
      <w:r w:rsidR="00BB2EEA">
        <w:t>.</w:t>
      </w:r>
    </w:p>
    <w:p w:rsidR="00A27B88" w:rsidRDefault="00A27B88" w:rsidP="00D5184B">
      <w:pPr>
        <w:spacing w:after="0" w:line="240" w:lineRule="auto"/>
        <w:jc w:val="both"/>
      </w:pPr>
    </w:p>
    <w:p w:rsidR="00973D66" w:rsidRDefault="00973D66" w:rsidP="00D5184B">
      <w:pPr>
        <w:spacing w:after="0" w:line="240" w:lineRule="auto"/>
        <w:jc w:val="both"/>
      </w:pPr>
      <w:r>
        <w:t>No</w:t>
      </w:r>
      <w:r w:rsidR="002E37AE">
        <w:t xml:space="preserve">us rappelons que la </w:t>
      </w:r>
      <w:proofErr w:type="spellStart"/>
      <w:r w:rsidR="002E37AE">
        <w:t>transphobie</w:t>
      </w:r>
      <w:proofErr w:type="spellEnd"/>
      <w:r w:rsidR="002E37AE">
        <w:t xml:space="preserve"> </w:t>
      </w:r>
      <w:r w:rsidR="000E2743">
        <w:t>ne se manifeste pas uniquement sous forme d’agression</w:t>
      </w:r>
      <w:r w:rsidR="002E37AE">
        <w:t xml:space="preserve">, mais </w:t>
      </w:r>
      <w:r w:rsidR="000E2743">
        <w:t>c’</w:t>
      </w:r>
      <w:r>
        <w:t>est</w:t>
      </w:r>
      <w:r w:rsidR="002E37AE">
        <w:t xml:space="preserve"> aussi</w:t>
      </w:r>
      <w:r>
        <w:t xml:space="preserve"> « le fruit d’un mécanisme complexe de sanctions institutionnalisées (par le droit mais aussi la médecine) ayant des conséquences directes sur la vie des personnes </w:t>
      </w:r>
      <w:proofErr w:type="spellStart"/>
      <w:r>
        <w:t>trans</w:t>
      </w:r>
      <w:proofErr w:type="spellEnd"/>
      <w:r>
        <w:t>, en terme de discriminations, de mises à l’écart et de honte »</w:t>
      </w:r>
      <w:r>
        <w:rPr>
          <w:rStyle w:val="EndnoteReference"/>
        </w:rPr>
        <w:endnoteReference w:id="1"/>
      </w:r>
      <w:r w:rsidR="00BD4B43">
        <w:t xml:space="preserve"> et vient cristalliser « au plus profond des subjectivités </w:t>
      </w:r>
      <w:proofErr w:type="spellStart"/>
      <w:r w:rsidR="00BD4B43">
        <w:t>trans</w:t>
      </w:r>
      <w:proofErr w:type="spellEnd"/>
      <w:r w:rsidR="00BD4B43">
        <w:t xml:space="preserve">, des sentiments de honte, d’anormalité ou d’inconnu » par un « mouvement d’intériorisation de la </w:t>
      </w:r>
      <w:proofErr w:type="spellStart"/>
      <w:r w:rsidR="00BD4B43">
        <w:t>transphobie</w:t>
      </w:r>
      <w:proofErr w:type="spellEnd"/>
      <w:r w:rsidR="00BD4B43">
        <w:t> ».</w:t>
      </w:r>
      <w:r w:rsidR="00624C2B">
        <w:t xml:space="preserve"> C’est exactement ce mécanisme qui est mis en </w:t>
      </w:r>
      <w:r w:rsidR="00CA081A">
        <w:t>scène</w:t>
      </w:r>
      <w:r w:rsidR="00624C2B">
        <w:t xml:space="preserve"> dans ce sketch, favorisant ainsi le sentiment de honte, d’anormalité ou d’inconnu chez les personnes </w:t>
      </w:r>
      <w:proofErr w:type="spellStart"/>
      <w:r w:rsidR="00624C2B">
        <w:t>trans</w:t>
      </w:r>
      <w:proofErr w:type="spellEnd"/>
      <w:r w:rsidR="00624C2B">
        <w:t xml:space="preserve"> et qui à force de l’entendre dans les médias, dans leur quotidien, intérioriseront ces concepts pouvant les pousser au suicide dans le pire des cas.</w:t>
      </w:r>
    </w:p>
    <w:p w:rsidR="00624C2B" w:rsidRDefault="00624C2B" w:rsidP="00D5184B">
      <w:pPr>
        <w:spacing w:after="0" w:line="240" w:lineRule="auto"/>
        <w:jc w:val="both"/>
      </w:pPr>
    </w:p>
    <w:p w:rsidR="00624C2B" w:rsidRDefault="00624C2B" w:rsidP="00D5184B">
      <w:pPr>
        <w:spacing w:after="0" w:line="240" w:lineRule="auto"/>
        <w:jc w:val="both"/>
      </w:pPr>
      <w:r>
        <w:t xml:space="preserve">Selon l’étude La </w:t>
      </w:r>
      <w:proofErr w:type="spellStart"/>
      <w:r>
        <w:t>Transphobie</w:t>
      </w:r>
      <w:proofErr w:type="spellEnd"/>
      <w:r>
        <w:rPr>
          <w:rStyle w:val="EndnoteReference"/>
        </w:rPr>
        <w:endnoteReference w:id="2"/>
      </w:r>
      <w:r>
        <w:t xml:space="preserve">, 85% des personnes déclarent avoir déjà subi un acte </w:t>
      </w:r>
      <w:proofErr w:type="spellStart"/>
      <w:r>
        <w:t>transphobe</w:t>
      </w:r>
      <w:proofErr w:type="spellEnd"/>
      <w:r>
        <w:t xml:space="preserve"> et près de 60% de ces actes </w:t>
      </w:r>
      <w:proofErr w:type="spellStart"/>
      <w:r>
        <w:t>transphobes</w:t>
      </w:r>
      <w:proofErr w:type="spellEnd"/>
      <w:r>
        <w:t xml:space="preserve"> sont des insultes. Ces sketchs continuent d’alimenter l’ensemble des citations toutes faites qui servent à insulter, à harceler, à discriminer les personnes </w:t>
      </w:r>
      <w:proofErr w:type="spellStart"/>
      <w:r>
        <w:t>trans</w:t>
      </w:r>
      <w:proofErr w:type="spellEnd"/>
      <w:r>
        <w:t xml:space="preserve"> au quotidien, cela dans toutes les sphères de vie des personnes ciblées, au travail, dans la rue, en famille, entre ami-e-s, en couple, sur Internet et ailleurs. Suite à un acte </w:t>
      </w:r>
      <w:proofErr w:type="spellStart"/>
      <w:r>
        <w:t>transphobe</w:t>
      </w:r>
      <w:proofErr w:type="spellEnd"/>
      <w:r>
        <w:t xml:space="preserve">, 56% des personnes </w:t>
      </w:r>
      <w:proofErr w:type="spellStart"/>
      <w:r>
        <w:t>trans</w:t>
      </w:r>
      <w:proofErr w:type="spellEnd"/>
      <w:r>
        <w:t xml:space="preserve"> ont déclaré avoir fait une dépression et 18% une tentative de suicide.</w:t>
      </w:r>
      <w:r w:rsidR="000759FB">
        <w:t xml:space="preserve"> Seulement 3% des personnes victimes de </w:t>
      </w:r>
      <w:proofErr w:type="spellStart"/>
      <w:r w:rsidR="000759FB">
        <w:t>transphobie</w:t>
      </w:r>
      <w:proofErr w:type="spellEnd"/>
      <w:r w:rsidR="000759FB">
        <w:t xml:space="preserve"> ont porté plainte suite à un acte </w:t>
      </w:r>
      <w:proofErr w:type="spellStart"/>
      <w:r w:rsidR="000759FB">
        <w:t>transphobe</w:t>
      </w:r>
      <w:proofErr w:type="spellEnd"/>
      <w:r w:rsidR="000759FB">
        <w:t xml:space="preserve">. Cette étude conclut : « Les chiffres de ce rapport sont sans appel. Ils soulignent l’urgence d’une prise en compte réelle de la </w:t>
      </w:r>
      <w:proofErr w:type="spellStart"/>
      <w:r w:rsidR="000759FB">
        <w:t>transphobie</w:t>
      </w:r>
      <w:proofErr w:type="spellEnd"/>
      <w:r w:rsidR="000759FB">
        <w:t xml:space="preserve"> dans l’ensemble des théâtres où elle se déploie. […] Chaque contrainte administrative, chaque acte </w:t>
      </w:r>
      <w:proofErr w:type="spellStart"/>
      <w:r w:rsidR="000759FB">
        <w:t>transphobe</w:t>
      </w:r>
      <w:proofErr w:type="spellEnd"/>
      <w:r w:rsidR="000759FB">
        <w:t xml:space="preserve">, chaque maltraitance médicale ou médiatique ampute encore un peu plus la citoyenneté réduite des personnes </w:t>
      </w:r>
      <w:proofErr w:type="spellStart"/>
      <w:r w:rsidR="000759FB">
        <w:t>trans</w:t>
      </w:r>
      <w:proofErr w:type="spellEnd"/>
      <w:r w:rsidR="000759FB">
        <w:t> ».</w:t>
      </w:r>
    </w:p>
    <w:p w:rsidR="00075718" w:rsidRDefault="00075718" w:rsidP="00D5184B">
      <w:pPr>
        <w:spacing w:after="0" w:line="240" w:lineRule="auto"/>
        <w:jc w:val="both"/>
      </w:pPr>
    </w:p>
    <w:p w:rsidR="008B6BBE" w:rsidRDefault="008B6BBE" w:rsidP="00097589">
      <w:pPr>
        <w:spacing w:after="0" w:line="240" w:lineRule="auto"/>
      </w:pPr>
    </w:p>
    <w:p w:rsidR="00592272" w:rsidRDefault="00E7186F" w:rsidP="00E7186F">
      <w:pPr>
        <w:spacing w:after="0" w:line="240" w:lineRule="auto"/>
        <w:ind w:left="5664"/>
      </w:pPr>
      <w:r>
        <w:t>Fait à Paris le 1</w:t>
      </w:r>
      <w:r w:rsidR="007F0F26">
        <w:t>4</w:t>
      </w:r>
      <w:bookmarkStart w:id="0" w:name="_GoBack"/>
      <w:bookmarkEnd w:id="0"/>
      <w:r>
        <w:t xml:space="preserve"> septembre 2016</w:t>
      </w:r>
    </w:p>
    <w:p w:rsidR="00E7186F" w:rsidRDefault="00E7186F" w:rsidP="00E7186F">
      <w:pPr>
        <w:spacing w:after="0" w:line="240" w:lineRule="auto"/>
        <w:ind w:left="5664"/>
      </w:pPr>
    </w:p>
    <w:p w:rsidR="004D4FB8" w:rsidRDefault="00E7186F" w:rsidP="00E7186F">
      <w:pPr>
        <w:spacing w:after="0" w:line="240" w:lineRule="auto"/>
        <w:ind w:left="4956" w:firstLine="708"/>
      </w:pPr>
      <w:r>
        <w:t xml:space="preserve">Sun </w:t>
      </w:r>
      <w:proofErr w:type="spellStart"/>
      <w:r>
        <w:t>Hee</w:t>
      </w:r>
      <w:proofErr w:type="spellEnd"/>
      <w:r>
        <w:t xml:space="preserve"> Yoon, présidente d’</w:t>
      </w:r>
      <w:proofErr w:type="spellStart"/>
      <w:r>
        <w:t>Acthe</w:t>
      </w:r>
      <w:proofErr w:type="spellEnd"/>
    </w:p>
    <w:p w:rsidR="004D4FB8" w:rsidRDefault="004D4FB8" w:rsidP="00522D0C">
      <w:pPr>
        <w:spacing w:after="0" w:line="240" w:lineRule="auto"/>
      </w:pPr>
    </w:p>
    <w:p w:rsidR="004D4FB8" w:rsidRDefault="004D4FB8" w:rsidP="00522D0C">
      <w:pPr>
        <w:spacing w:after="0" w:line="240" w:lineRule="auto"/>
      </w:pPr>
    </w:p>
    <w:p w:rsidR="004D4FB8" w:rsidRDefault="004D4FB8" w:rsidP="00522D0C">
      <w:pPr>
        <w:spacing w:after="0" w:line="240" w:lineRule="auto"/>
      </w:pPr>
    </w:p>
    <w:p w:rsidR="004D4FB8" w:rsidRDefault="004D4FB8" w:rsidP="00522D0C">
      <w:pPr>
        <w:spacing w:after="0" w:line="240" w:lineRule="auto"/>
      </w:pPr>
    </w:p>
    <w:p w:rsidR="00E7186F" w:rsidRPr="00763F2E" w:rsidRDefault="00E7186F" w:rsidP="00522D0C">
      <w:pPr>
        <w:spacing w:after="0" w:line="240" w:lineRule="auto"/>
      </w:pPr>
      <w:r>
        <w:tab/>
      </w:r>
      <w:r>
        <w:tab/>
      </w:r>
    </w:p>
    <w:sectPr w:rsidR="00E7186F" w:rsidRPr="00763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01" w:rsidRDefault="001B2701" w:rsidP="00973D66">
      <w:pPr>
        <w:spacing w:after="0" w:line="240" w:lineRule="auto"/>
      </w:pPr>
      <w:r>
        <w:separator/>
      </w:r>
    </w:p>
  </w:endnote>
  <w:endnote w:type="continuationSeparator" w:id="0">
    <w:p w:rsidR="001B2701" w:rsidRDefault="001B2701" w:rsidP="00973D66">
      <w:pPr>
        <w:spacing w:after="0" w:line="240" w:lineRule="auto"/>
      </w:pPr>
      <w:r>
        <w:continuationSeparator/>
      </w:r>
    </w:p>
  </w:endnote>
  <w:endnote w:id="1">
    <w:p w:rsidR="00973D66" w:rsidRDefault="00973D66">
      <w:pPr>
        <w:pStyle w:val="EndnoteText"/>
      </w:pPr>
      <w:r>
        <w:rPr>
          <w:rStyle w:val="EndnoteReference"/>
        </w:rPr>
        <w:endnoteRef/>
      </w:r>
      <w:r>
        <w:t xml:space="preserve"> Etude « La </w:t>
      </w:r>
      <w:proofErr w:type="spellStart"/>
      <w:r>
        <w:t>Transphobie</w:t>
      </w:r>
      <w:proofErr w:type="spellEnd"/>
      <w:r>
        <w:t xml:space="preserve"> », rédigé par Arnaud </w:t>
      </w:r>
      <w:proofErr w:type="spellStart"/>
      <w:r>
        <w:t>Alessandrin</w:t>
      </w:r>
      <w:proofErr w:type="spellEnd"/>
      <w:r>
        <w:t xml:space="preserve"> et Karine </w:t>
      </w:r>
      <w:proofErr w:type="spellStart"/>
      <w:r>
        <w:t>Espineira</w:t>
      </w:r>
      <w:proofErr w:type="spellEnd"/>
      <w:r>
        <w:t xml:space="preserve"> pour le Comité IDAHO, juillet 2014.</w:t>
      </w:r>
    </w:p>
  </w:endnote>
  <w:endnote w:id="2">
    <w:p w:rsidR="00624C2B" w:rsidRDefault="00624C2B">
      <w:pPr>
        <w:pStyle w:val="EndnoteText"/>
      </w:pPr>
      <w:r>
        <w:rPr>
          <w:rStyle w:val="EndnoteReference"/>
        </w:rPr>
        <w:endnoteRef/>
      </w:r>
      <w:r>
        <w:t xml:space="preserve"> Ibidem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01" w:rsidRDefault="001B2701" w:rsidP="00973D66">
      <w:pPr>
        <w:spacing w:after="0" w:line="240" w:lineRule="auto"/>
      </w:pPr>
      <w:r>
        <w:separator/>
      </w:r>
    </w:p>
  </w:footnote>
  <w:footnote w:type="continuationSeparator" w:id="0">
    <w:p w:rsidR="001B2701" w:rsidRDefault="001B2701" w:rsidP="00973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89"/>
    <w:rsid w:val="00075718"/>
    <w:rsid w:val="000759FB"/>
    <w:rsid w:val="00097589"/>
    <w:rsid w:val="000E2743"/>
    <w:rsid w:val="001B2701"/>
    <w:rsid w:val="00225EDE"/>
    <w:rsid w:val="002E37AE"/>
    <w:rsid w:val="0033204F"/>
    <w:rsid w:val="003A1C3D"/>
    <w:rsid w:val="003F4386"/>
    <w:rsid w:val="0047370D"/>
    <w:rsid w:val="004D4FB8"/>
    <w:rsid w:val="00522D0C"/>
    <w:rsid w:val="00592272"/>
    <w:rsid w:val="00624C2B"/>
    <w:rsid w:val="006C5860"/>
    <w:rsid w:val="006D4F92"/>
    <w:rsid w:val="00735C78"/>
    <w:rsid w:val="00763F2E"/>
    <w:rsid w:val="007F0F26"/>
    <w:rsid w:val="0081652C"/>
    <w:rsid w:val="00842B1D"/>
    <w:rsid w:val="008B6BBE"/>
    <w:rsid w:val="00973D66"/>
    <w:rsid w:val="00A27B88"/>
    <w:rsid w:val="00B62789"/>
    <w:rsid w:val="00B6671B"/>
    <w:rsid w:val="00BB2EEA"/>
    <w:rsid w:val="00BD4B43"/>
    <w:rsid w:val="00BE7E30"/>
    <w:rsid w:val="00C81E6A"/>
    <w:rsid w:val="00CA081A"/>
    <w:rsid w:val="00CC2937"/>
    <w:rsid w:val="00D5184B"/>
    <w:rsid w:val="00D8421C"/>
    <w:rsid w:val="00E7186F"/>
    <w:rsid w:val="00F65164"/>
    <w:rsid w:val="00F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7CF0D-C39F-4F92-83BE-16FD0127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93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937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2937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2937"/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character" w:styleId="Hyperlink">
    <w:name w:val="Hyperlink"/>
    <w:basedOn w:val="DefaultParagraphFont"/>
    <w:uiPriority w:val="99"/>
    <w:unhideWhenUsed/>
    <w:rsid w:val="00097589"/>
    <w:rPr>
      <w:color w:val="0563C1" w:themeColor="hyperlink"/>
      <w:u w:val="single"/>
    </w:rPr>
  </w:style>
  <w:style w:type="character" w:customStyle="1" w:styleId="petittext">
    <w:name w:val="petit_text"/>
    <w:basedOn w:val="DefaultParagraphFont"/>
    <w:rsid w:val="0081652C"/>
  </w:style>
  <w:style w:type="paragraph" w:styleId="EndnoteText">
    <w:name w:val="endnote text"/>
    <w:basedOn w:val="Normal"/>
    <w:link w:val="EndnoteTextChar"/>
    <w:uiPriority w:val="99"/>
    <w:semiHidden/>
    <w:unhideWhenUsed/>
    <w:rsid w:val="00973D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3D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3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nalplus.fr/emissions/le-grand-journal/pid5411-emission.html?vid=141448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A377-3EAC-451E-9CF2-840E69E8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SunHee Yoon</dc:creator>
  <cp:keywords/>
  <dc:description/>
  <cp:lastModifiedBy>SunHee Yoon</cp:lastModifiedBy>
  <cp:revision>45</cp:revision>
  <dcterms:created xsi:type="dcterms:W3CDTF">2016-09-13T13:57:00Z</dcterms:created>
  <dcterms:modified xsi:type="dcterms:W3CDTF">2016-09-14T12:34:00Z</dcterms:modified>
</cp:coreProperties>
</file>